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5CF" w:rsidRPr="008065CF" w:rsidRDefault="008065CF" w:rsidP="008065CF">
      <w:pPr>
        <w:jc w:val="center"/>
        <w:rPr>
          <w:rFonts w:eastAsia="Times New Roman"/>
          <w:b/>
          <w:sz w:val="28"/>
          <w:szCs w:val="28"/>
        </w:rPr>
      </w:pPr>
      <w:proofErr w:type="spellStart"/>
      <w:r w:rsidRPr="008065CF">
        <w:rPr>
          <w:rFonts w:eastAsia="Times New Roman"/>
          <w:b/>
          <w:sz w:val="28"/>
          <w:szCs w:val="28"/>
        </w:rPr>
        <w:t>Pagėgių</w:t>
      </w:r>
      <w:proofErr w:type="spellEnd"/>
      <w:r w:rsidRPr="008065CF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065CF">
        <w:rPr>
          <w:rFonts w:eastAsia="Times New Roman"/>
          <w:b/>
          <w:sz w:val="28"/>
          <w:szCs w:val="28"/>
        </w:rPr>
        <w:t>Algimanto</w:t>
      </w:r>
      <w:proofErr w:type="spellEnd"/>
      <w:r w:rsidRPr="008065CF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065CF">
        <w:rPr>
          <w:rFonts w:eastAsia="Times New Roman"/>
          <w:b/>
          <w:sz w:val="28"/>
          <w:szCs w:val="28"/>
        </w:rPr>
        <w:t>Mackaus</w:t>
      </w:r>
      <w:proofErr w:type="spellEnd"/>
      <w:r w:rsidRPr="008065CF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065CF">
        <w:rPr>
          <w:rFonts w:eastAsia="Times New Roman"/>
          <w:b/>
          <w:sz w:val="28"/>
          <w:szCs w:val="28"/>
        </w:rPr>
        <w:t>gimnazijos</w:t>
      </w:r>
      <w:proofErr w:type="spellEnd"/>
      <w:r w:rsidRPr="008065CF">
        <w:rPr>
          <w:rFonts w:eastAsia="Times New Roman"/>
          <w:b/>
          <w:sz w:val="28"/>
          <w:szCs w:val="28"/>
        </w:rPr>
        <w:t xml:space="preserve"> 2021 m. </w:t>
      </w:r>
      <w:proofErr w:type="spellStart"/>
      <w:r w:rsidRPr="008065CF">
        <w:rPr>
          <w:rFonts w:eastAsia="Times New Roman"/>
          <w:b/>
          <w:sz w:val="28"/>
          <w:szCs w:val="28"/>
        </w:rPr>
        <w:t>pažangos</w:t>
      </w:r>
      <w:proofErr w:type="spellEnd"/>
      <w:r w:rsidRPr="008065CF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065CF">
        <w:rPr>
          <w:rFonts w:eastAsia="Times New Roman"/>
          <w:b/>
          <w:sz w:val="28"/>
          <w:szCs w:val="28"/>
        </w:rPr>
        <w:t>ataskaita</w:t>
      </w:r>
      <w:proofErr w:type="spellEnd"/>
    </w:p>
    <w:p w:rsidR="00FE498E" w:rsidRDefault="00486560">
      <w:pPr>
        <w:rPr>
          <w:rFonts w:eastAsia="Times New Roman"/>
        </w:rPr>
      </w:pPr>
      <w:r>
        <w:rPr>
          <w:rFonts w:eastAsia="Times New Roman"/>
        </w:rPr>
        <w:t xml:space="preserve">   </w:t>
      </w:r>
    </w:p>
    <w:tbl>
      <w:tblPr>
        <w:tblW w:w="76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1"/>
      </w:tblGrid>
      <w:tr w:rsidR="00FE498E" w:rsidRPr="00471F7B" w:rsidTr="00471F7B">
        <w:trPr>
          <w:trHeight w:val="314"/>
          <w:jc w:val="center"/>
        </w:trPr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98E" w:rsidRPr="00471F7B" w:rsidRDefault="0048656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Nurodykite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2021 m. (2020–2021 m. m.)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tobulintos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veiklos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rodiklio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numerį</w:t>
            </w:r>
            <w:proofErr w:type="spellEnd"/>
          </w:p>
        </w:tc>
      </w:tr>
      <w:tr w:rsidR="00FE498E" w:rsidRPr="00471F7B" w:rsidTr="00471F7B">
        <w:trPr>
          <w:trHeight w:val="314"/>
          <w:jc w:val="center"/>
        </w:trPr>
        <w:tc>
          <w:tcPr>
            <w:tcW w:w="7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98E" w:rsidRPr="00471F7B" w:rsidRDefault="00486560">
            <w:pPr>
              <w:jc w:val="center"/>
              <w:rPr>
                <w:rFonts w:eastAsia="Times New Roman"/>
                <w:color w:val="000000"/>
              </w:rPr>
            </w:pPr>
            <w:r w:rsidRPr="00471F7B">
              <w:rPr>
                <w:rFonts w:eastAsia="Times New Roman"/>
                <w:color w:val="000000"/>
              </w:rPr>
              <w:t>222</w:t>
            </w:r>
          </w:p>
        </w:tc>
      </w:tr>
      <w:tr w:rsidR="00FE498E" w:rsidRPr="00471F7B" w:rsidTr="00471F7B">
        <w:trPr>
          <w:trHeight w:val="314"/>
          <w:jc w:val="center"/>
        </w:trPr>
        <w:tc>
          <w:tcPr>
            <w:tcW w:w="7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98E" w:rsidRPr="00471F7B" w:rsidRDefault="0048656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Nurodykite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2021 m. (2020–2021 m. m.)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tobulintos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veiklos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raktinį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žodį</w:t>
            </w:r>
            <w:proofErr w:type="spellEnd"/>
          </w:p>
        </w:tc>
      </w:tr>
      <w:tr w:rsidR="00FE498E" w:rsidRPr="00471F7B" w:rsidTr="00471F7B">
        <w:trPr>
          <w:trHeight w:val="314"/>
          <w:jc w:val="center"/>
        </w:trPr>
        <w:tc>
          <w:tcPr>
            <w:tcW w:w="7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98E" w:rsidRPr="00471F7B" w:rsidRDefault="0048656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471F7B">
              <w:rPr>
                <w:rFonts w:eastAsia="Times New Roman"/>
                <w:color w:val="000000"/>
              </w:rPr>
              <w:t>Diferencijavimas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471F7B">
              <w:rPr>
                <w:rFonts w:eastAsia="Times New Roman"/>
                <w:color w:val="000000"/>
              </w:rPr>
              <w:t>individualizavimas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471F7B">
              <w:rPr>
                <w:rFonts w:eastAsia="Times New Roman"/>
                <w:color w:val="000000"/>
              </w:rPr>
              <w:t>suasmeninimas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FE498E" w:rsidRPr="00471F7B" w:rsidTr="00471F7B">
        <w:trPr>
          <w:trHeight w:val="314"/>
          <w:jc w:val="center"/>
        </w:trPr>
        <w:tc>
          <w:tcPr>
            <w:tcW w:w="7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98E" w:rsidRPr="00471F7B" w:rsidRDefault="0048656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Kokį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poveikį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mokyklos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pažangai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turėjo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pasirinktos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veiklos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tobulinimas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>?</w:t>
            </w:r>
          </w:p>
        </w:tc>
      </w:tr>
      <w:tr w:rsidR="00FE498E" w:rsidRPr="00471F7B" w:rsidTr="00471F7B">
        <w:trPr>
          <w:trHeight w:val="2209"/>
          <w:jc w:val="center"/>
        </w:trPr>
        <w:tc>
          <w:tcPr>
            <w:tcW w:w="7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98E" w:rsidRPr="00471F7B" w:rsidRDefault="00486560" w:rsidP="00471F7B">
            <w:pPr>
              <w:ind w:firstLine="720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471F7B">
              <w:rPr>
                <w:rFonts w:eastAsia="Times New Roman"/>
                <w:color w:val="000000"/>
              </w:rPr>
              <w:t>Mokytojai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pripažįsta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mokinių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skirtybes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(</w:t>
            </w:r>
            <w:proofErr w:type="spellStart"/>
            <w:r w:rsidRPr="00471F7B">
              <w:rPr>
                <w:rFonts w:eastAsia="Times New Roman"/>
                <w:color w:val="000000"/>
              </w:rPr>
              <w:t>amžiaus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tarpsnio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471F7B">
              <w:rPr>
                <w:rFonts w:eastAsia="Times New Roman"/>
                <w:color w:val="000000"/>
              </w:rPr>
              <w:t>asmeniniai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ir </w:t>
            </w:r>
            <w:proofErr w:type="spellStart"/>
            <w:r w:rsidRPr="00471F7B">
              <w:rPr>
                <w:rFonts w:eastAsia="Times New Roman"/>
                <w:color w:val="000000"/>
              </w:rPr>
              <w:t>ugdymosi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poreikiai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471F7B">
              <w:rPr>
                <w:rFonts w:eastAsia="Times New Roman"/>
                <w:color w:val="000000"/>
              </w:rPr>
              <w:t>interesai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471F7B">
              <w:rPr>
                <w:rFonts w:eastAsia="Times New Roman"/>
                <w:color w:val="000000"/>
              </w:rPr>
              <w:t>gebėjimai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471F7B">
              <w:rPr>
                <w:rFonts w:eastAsia="Times New Roman"/>
                <w:color w:val="000000"/>
              </w:rPr>
              <w:t>mokymosi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stiliai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), į </w:t>
            </w:r>
            <w:proofErr w:type="spellStart"/>
            <w:r w:rsidRPr="00471F7B">
              <w:rPr>
                <w:rFonts w:eastAsia="Times New Roman"/>
                <w:color w:val="000000"/>
              </w:rPr>
              <w:t>kurias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atsižvelgia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organizuodami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 w:rsidRPr="00471F7B">
              <w:rPr>
                <w:rFonts w:eastAsia="Times New Roman"/>
                <w:color w:val="000000"/>
              </w:rPr>
              <w:t>mokymą</w:t>
            </w:r>
            <w:proofErr w:type="spellEnd"/>
            <w:r w:rsidRPr="00471F7B">
              <w:rPr>
                <w:rFonts w:eastAsia="Times New Roman"/>
                <w:color w:val="000000"/>
              </w:rPr>
              <w:t>(</w:t>
            </w:r>
            <w:proofErr w:type="spellStart"/>
            <w:proofErr w:type="gramEnd"/>
            <w:r w:rsidRPr="00471F7B">
              <w:rPr>
                <w:rFonts w:eastAsia="Times New Roman"/>
                <w:color w:val="000000"/>
              </w:rPr>
              <w:t>si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). </w:t>
            </w:r>
            <w:proofErr w:type="spellStart"/>
            <w:r w:rsidRPr="00471F7B">
              <w:rPr>
                <w:rFonts w:eastAsia="Times New Roman"/>
                <w:color w:val="000000"/>
              </w:rPr>
              <w:t>Taikomi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įvairūs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nenuolatiniai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mokinių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pergrupavimo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pagal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jų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mokymosi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poreikius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būdai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. </w:t>
            </w:r>
            <w:proofErr w:type="spellStart"/>
            <w:r w:rsidRPr="00471F7B">
              <w:rPr>
                <w:rFonts w:eastAsia="Times New Roman"/>
                <w:color w:val="000000"/>
              </w:rPr>
              <w:t>Siekiama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suasmeninti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mokymąsi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, t. y. </w:t>
            </w:r>
            <w:proofErr w:type="spellStart"/>
            <w:r w:rsidRPr="00471F7B">
              <w:rPr>
                <w:rFonts w:eastAsia="Times New Roman"/>
                <w:color w:val="000000"/>
              </w:rPr>
              <w:t>yra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skatinamas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aktyvus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mokinių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dalyvavimas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keliant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individualius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471F7B">
              <w:rPr>
                <w:rFonts w:eastAsia="Times New Roman"/>
                <w:color w:val="000000"/>
              </w:rPr>
              <w:t>su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kiekvieno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mokymosi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galimybėmis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471F7B">
              <w:rPr>
                <w:rFonts w:eastAsia="Times New Roman"/>
                <w:color w:val="000000"/>
              </w:rPr>
              <w:t>interesais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ir </w:t>
            </w:r>
            <w:proofErr w:type="spellStart"/>
            <w:r w:rsidRPr="00471F7B">
              <w:rPr>
                <w:rFonts w:eastAsia="Times New Roman"/>
                <w:color w:val="000000"/>
              </w:rPr>
              <w:t>siekiais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derančius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ugdymosi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tikslus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471F7B">
              <w:rPr>
                <w:rFonts w:eastAsia="Times New Roman"/>
                <w:color w:val="000000"/>
              </w:rPr>
              <w:t>renkantis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temas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471F7B">
              <w:rPr>
                <w:rFonts w:eastAsia="Times New Roman"/>
                <w:color w:val="000000"/>
              </w:rPr>
              <w:t>užduotis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471F7B">
              <w:rPr>
                <w:rFonts w:eastAsia="Times New Roman"/>
                <w:color w:val="000000"/>
              </w:rPr>
              <w:t>problemas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471F7B">
              <w:rPr>
                <w:rFonts w:eastAsia="Times New Roman"/>
                <w:color w:val="000000"/>
              </w:rPr>
              <w:t>mokymosi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būdus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ir </w:t>
            </w:r>
            <w:proofErr w:type="spellStart"/>
            <w:r w:rsidRPr="00471F7B">
              <w:rPr>
                <w:rFonts w:eastAsia="Times New Roman"/>
                <w:color w:val="000000"/>
              </w:rPr>
              <w:t>tempą</w:t>
            </w:r>
            <w:proofErr w:type="spellEnd"/>
            <w:r w:rsidRPr="00471F7B">
              <w:rPr>
                <w:rFonts w:eastAsia="Times New Roman"/>
                <w:color w:val="000000"/>
              </w:rPr>
              <w:t>.</w:t>
            </w:r>
          </w:p>
        </w:tc>
      </w:tr>
      <w:tr w:rsidR="00FE498E" w:rsidRPr="00471F7B" w:rsidTr="00471F7B">
        <w:trPr>
          <w:trHeight w:val="615"/>
          <w:jc w:val="center"/>
        </w:trPr>
        <w:tc>
          <w:tcPr>
            <w:tcW w:w="7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98E" w:rsidRPr="00471F7B" w:rsidRDefault="0048656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Tobulintos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veiklos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poveikis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mokiniams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: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kaip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keitėsi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mokinių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pasiekimų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lygmenys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>?</w:t>
            </w:r>
          </w:p>
        </w:tc>
      </w:tr>
      <w:tr w:rsidR="00FE498E" w:rsidRPr="00471F7B" w:rsidTr="00471F7B">
        <w:trPr>
          <w:trHeight w:val="946"/>
          <w:jc w:val="center"/>
        </w:trPr>
        <w:tc>
          <w:tcPr>
            <w:tcW w:w="7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98E" w:rsidRPr="00471F7B" w:rsidRDefault="00486560" w:rsidP="00471F7B">
            <w:pPr>
              <w:ind w:firstLine="720"/>
              <w:jc w:val="both"/>
              <w:rPr>
                <w:rFonts w:eastAsia="Times New Roman"/>
                <w:color w:val="000000"/>
              </w:rPr>
            </w:pPr>
            <w:r w:rsidRPr="00471F7B">
              <w:rPr>
                <w:rFonts w:eastAsia="Times New Roman"/>
                <w:color w:val="000000"/>
              </w:rPr>
              <w:t xml:space="preserve">2020-2021 m. m., </w:t>
            </w:r>
            <w:proofErr w:type="spellStart"/>
            <w:r w:rsidRPr="00471F7B">
              <w:rPr>
                <w:rFonts w:eastAsia="Times New Roman"/>
                <w:color w:val="000000"/>
              </w:rPr>
              <w:t>lyginant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su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praėjusiais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mokslo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metais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471F7B">
              <w:rPr>
                <w:rFonts w:eastAsia="Times New Roman"/>
                <w:color w:val="000000"/>
              </w:rPr>
              <w:t>mokinių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pasiekimų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lygmenys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pakilo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. </w:t>
            </w:r>
            <w:proofErr w:type="spellStart"/>
            <w:r w:rsidRPr="00471F7B">
              <w:rPr>
                <w:rFonts w:eastAsia="Times New Roman"/>
                <w:color w:val="000000"/>
              </w:rPr>
              <w:t>Pakilo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nežymiai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- 0</w:t>
            </w:r>
            <w:proofErr w:type="gramStart"/>
            <w:r w:rsidRPr="00471F7B">
              <w:rPr>
                <w:rFonts w:eastAsia="Times New Roman"/>
                <w:color w:val="000000"/>
              </w:rPr>
              <w:t>,46</w:t>
            </w:r>
            <w:proofErr w:type="gram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balo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. </w:t>
            </w:r>
            <w:proofErr w:type="spellStart"/>
            <w:r w:rsidRPr="00471F7B">
              <w:rPr>
                <w:rFonts w:eastAsia="Times New Roman"/>
                <w:color w:val="000000"/>
              </w:rPr>
              <w:t>Tačiau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šį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pasiekimų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pakilimą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sunku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vertinti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471F7B">
              <w:rPr>
                <w:rFonts w:eastAsia="Times New Roman"/>
                <w:color w:val="000000"/>
              </w:rPr>
              <w:t>kadangi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didžiąją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laiko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dalį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mokiniai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mokėsi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nuotoliniu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būdu</w:t>
            </w:r>
            <w:proofErr w:type="spellEnd"/>
            <w:r w:rsidRPr="00471F7B">
              <w:rPr>
                <w:rFonts w:eastAsia="Times New Roman"/>
                <w:color w:val="000000"/>
              </w:rPr>
              <w:t>.</w:t>
            </w:r>
          </w:p>
        </w:tc>
      </w:tr>
      <w:tr w:rsidR="00FE498E" w:rsidRPr="00471F7B" w:rsidTr="00471F7B">
        <w:trPr>
          <w:trHeight w:val="615"/>
          <w:jc w:val="center"/>
        </w:trPr>
        <w:tc>
          <w:tcPr>
            <w:tcW w:w="7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98E" w:rsidRPr="00471F7B" w:rsidRDefault="0048656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Tobulintos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veiklos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poveikis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mokiniams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: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kokį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poveikį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pasirinktos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veiklos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tobulinimas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turėjo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mokinių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pažangai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>?</w:t>
            </w:r>
          </w:p>
        </w:tc>
      </w:tr>
      <w:tr w:rsidR="00FE498E" w:rsidRPr="00471F7B" w:rsidTr="00471F7B">
        <w:trPr>
          <w:trHeight w:val="314"/>
          <w:jc w:val="center"/>
        </w:trPr>
        <w:tc>
          <w:tcPr>
            <w:tcW w:w="7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98E" w:rsidRPr="00471F7B" w:rsidRDefault="00486560" w:rsidP="00471F7B">
            <w:pPr>
              <w:ind w:firstLine="720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471F7B">
              <w:rPr>
                <w:rFonts w:eastAsia="Times New Roman"/>
                <w:color w:val="000000"/>
              </w:rPr>
              <w:t>Mokymosi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diferenciavimas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471F7B">
              <w:rPr>
                <w:rFonts w:eastAsia="Times New Roman"/>
                <w:color w:val="000000"/>
              </w:rPr>
              <w:t>individualizavimas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471F7B">
              <w:rPr>
                <w:rFonts w:eastAsia="Times New Roman"/>
                <w:color w:val="000000"/>
              </w:rPr>
              <w:t>suasmeninimas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leido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mokiniams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labiau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pasiekti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individualios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pažangos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471F7B">
              <w:rPr>
                <w:rFonts w:eastAsia="Times New Roman"/>
                <w:color w:val="000000"/>
              </w:rPr>
              <w:t>kadangi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individualizuotos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užduotys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ir </w:t>
            </w:r>
            <w:proofErr w:type="spellStart"/>
            <w:r w:rsidRPr="00471F7B">
              <w:rPr>
                <w:rFonts w:eastAsia="Times New Roman"/>
                <w:color w:val="000000"/>
              </w:rPr>
              <w:t>vertinimo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būdai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leido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vaikams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patirti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sėkmę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471F7B">
              <w:rPr>
                <w:rFonts w:eastAsia="Times New Roman"/>
                <w:color w:val="000000"/>
              </w:rPr>
              <w:t>didėjo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jų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motyvacija</w:t>
            </w:r>
            <w:proofErr w:type="spellEnd"/>
            <w:r w:rsidRPr="00471F7B">
              <w:rPr>
                <w:rFonts w:eastAsia="Times New Roman"/>
                <w:color w:val="000000"/>
              </w:rPr>
              <w:t>.</w:t>
            </w:r>
          </w:p>
        </w:tc>
      </w:tr>
      <w:tr w:rsidR="00FE498E" w:rsidRPr="00471F7B" w:rsidTr="00471F7B">
        <w:trPr>
          <w:trHeight w:val="919"/>
          <w:jc w:val="center"/>
        </w:trPr>
        <w:tc>
          <w:tcPr>
            <w:tcW w:w="7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98E" w:rsidRPr="00471F7B" w:rsidRDefault="0048656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Tobulintos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veiklos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poveikis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mokiniams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: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kokios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papildomos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sąlygos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buvo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sudarytos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mokinių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asmenybės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ugdymui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tobulinant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pasirinktą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b/>
                <w:bCs/>
                <w:color w:val="000000"/>
              </w:rPr>
              <w:t>veiklą</w:t>
            </w:r>
            <w:proofErr w:type="spellEnd"/>
            <w:r w:rsidRPr="00471F7B">
              <w:rPr>
                <w:rFonts w:eastAsia="Times New Roman"/>
                <w:b/>
                <w:bCs/>
                <w:color w:val="000000"/>
              </w:rPr>
              <w:t>?</w:t>
            </w:r>
          </w:p>
        </w:tc>
      </w:tr>
      <w:tr w:rsidR="00FE498E" w:rsidRPr="00471F7B" w:rsidTr="00471F7B">
        <w:trPr>
          <w:trHeight w:val="946"/>
          <w:jc w:val="center"/>
        </w:trPr>
        <w:tc>
          <w:tcPr>
            <w:tcW w:w="7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98E" w:rsidRPr="00471F7B" w:rsidRDefault="00486560" w:rsidP="00471F7B">
            <w:pPr>
              <w:ind w:firstLine="720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471F7B">
              <w:rPr>
                <w:rFonts w:eastAsia="Times New Roman"/>
                <w:color w:val="000000"/>
              </w:rPr>
              <w:t>Didelis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dėmesys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buvo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skiriamas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gabių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ir </w:t>
            </w:r>
            <w:proofErr w:type="spellStart"/>
            <w:r w:rsidRPr="00471F7B">
              <w:rPr>
                <w:rFonts w:eastAsia="Times New Roman"/>
                <w:color w:val="000000"/>
              </w:rPr>
              <w:t>talentingų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mokinių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ugdymui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tiek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pamokų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metu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471F7B">
              <w:rPr>
                <w:rFonts w:eastAsia="Times New Roman"/>
                <w:color w:val="000000"/>
              </w:rPr>
              <w:t>tiek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popamokinėje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veikloje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. </w:t>
            </w:r>
            <w:proofErr w:type="spellStart"/>
            <w:r w:rsidRPr="00471F7B">
              <w:rPr>
                <w:rFonts w:eastAsia="Times New Roman"/>
                <w:color w:val="000000"/>
              </w:rPr>
              <w:t>Sudarytos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sąlygos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mokiniams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lankyti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individualias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ir </w:t>
            </w:r>
            <w:proofErr w:type="spellStart"/>
            <w:r w:rsidRPr="00471F7B">
              <w:rPr>
                <w:rFonts w:eastAsia="Times New Roman"/>
                <w:color w:val="000000"/>
              </w:rPr>
              <w:t>grupines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mokomųjų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dalykų</w:t>
            </w:r>
            <w:proofErr w:type="spellEnd"/>
            <w:r w:rsidRPr="00471F7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71F7B">
              <w:rPr>
                <w:rFonts w:eastAsia="Times New Roman"/>
                <w:color w:val="000000"/>
              </w:rPr>
              <w:t>konsultacijas</w:t>
            </w:r>
            <w:proofErr w:type="spellEnd"/>
            <w:r w:rsidRPr="00471F7B">
              <w:rPr>
                <w:rFonts w:eastAsia="Times New Roman"/>
                <w:color w:val="000000"/>
              </w:rPr>
              <w:t>.</w:t>
            </w:r>
          </w:p>
        </w:tc>
      </w:tr>
      <w:tr w:rsidR="00FE498E" w:rsidRPr="00471F7B" w:rsidTr="00471F7B">
        <w:trPr>
          <w:trHeight w:hRule="exact" w:val="13"/>
          <w:jc w:val="center"/>
        </w:trPr>
        <w:tc>
          <w:tcPr>
            <w:tcW w:w="7671" w:type="dxa"/>
            <w:vAlign w:val="center"/>
            <w:hideMark/>
          </w:tcPr>
          <w:p w:rsidR="00FE498E" w:rsidRPr="00471F7B" w:rsidRDefault="00FE498E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486560" w:rsidRDefault="00486560">
      <w:pPr>
        <w:rPr>
          <w:rFonts w:eastAsia="Times New Roman"/>
        </w:rPr>
      </w:pPr>
      <w:bookmarkStart w:id="0" w:name="_GoBack"/>
      <w:bookmarkEnd w:id="0"/>
    </w:p>
    <w:sectPr w:rsidR="00486560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A5"/>
    <w:rsid w:val="00471F7B"/>
    <w:rsid w:val="00486560"/>
    <w:rsid w:val="008065CF"/>
    <w:rsid w:val="00EB61A5"/>
    <w:rsid w:val="00FE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8ED0C-203A-4112-A7C8-B78846A6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eastAsiaTheme="minorEastAsia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xl1511276">
    <w:name w:val="xl1511276"/>
    <w:basedOn w:val="prastasis"/>
    <w:pPr>
      <w:spacing w:before="100" w:beforeAutospacing="1" w:after="100" w:afterAutospacing="1"/>
      <w:textAlignment w:val="bottom"/>
    </w:pPr>
    <w:rPr>
      <w:rFonts w:ascii="Calibri" w:hAnsi="Calibri" w:cs="Calibri"/>
      <w:color w:val="000000"/>
      <w:sz w:val="22"/>
      <w:szCs w:val="22"/>
    </w:rPr>
  </w:style>
  <w:style w:type="paragraph" w:customStyle="1" w:styleId="xl6311276">
    <w:name w:val="xl6311276"/>
    <w:basedOn w:val="prastasis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Calibri" w:hAnsi="Calibri" w:cs="Calibri"/>
      <w:color w:val="000000"/>
      <w:sz w:val="22"/>
      <w:szCs w:val="22"/>
    </w:rPr>
  </w:style>
  <w:style w:type="paragraph" w:customStyle="1" w:styleId="xl6411276">
    <w:name w:val="xl6411276"/>
    <w:basedOn w:val="prastasis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B4C6E7"/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  <w:color w:val="000000"/>
      <w:sz w:val="22"/>
      <w:szCs w:val="2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065C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065C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2022-04-25T06:22:00Z</cp:lastPrinted>
  <dcterms:created xsi:type="dcterms:W3CDTF">2022-04-25T06:15:00Z</dcterms:created>
  <dcterms:modified xsi:type="dcterms:W3CDTF">2022-04-25T06:26:00Z</dcterms:modified>
</cp:coreProperties>
</file>